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3D" w:rsidRPr="009225A6" w:rsidRDefault="00D8463D" w:rsidP="00D8463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7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____________№__________</w:t>
      </w:r>
    </w:p>
    <w:p w:rsidR="00D8463D" w:rsidRDefault="00D8463D" w:rsidP="00D8463D"/>
    <w:p w:rsidR="00D8463D" w:rsidRDefault="00D8463D" w:rsidP="00D84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</w:t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D8463D" w:rsidRDefault="00D8463D" w:rsidP="00D846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>
        <w:rPr>
          <w:sz w:val="28"/>
          <w:szCs w:val="28"/>
        </w:rPr>
        <w:t>«</w:t>
      </w:r>
      <w:r w:rsidRPr="00A36D56">
        <w:rPr>
          <w:sz w:val="28"/>
          <w:szCs w:val="28"/>
        </w:rPr>
        <w:t>Росконгресс</w:t>
      </w:r>
      <w:r>
        <w:rPr>
          <w:sz w:val="28"/>
          <w:szCs w:val="28"/>
        </w:rPr>
        <w:t>»</w:t>
      </w:r>
      <w:r w:rsidRPr="00A36D56">
        <w:rPr>
          <w:sz w:val="28"/>
          <w:szCs w:val="28"/>
        </w:rPr>
        <w:t>, соорганизатор</w:t>
      </w:r>
      <w:r>
        <w:rPr>
          <w:sz w:val="28"/>
          <w:szCs w:val="28"/>
        </w:rPr>
        <w:t>ы</w:t>
      </w:r>
      <w:r w:rsidRPr="00A36D56">
        <w:rPr>
          <w:sz w:val="28"/>
          <w:szCs w:val="28"/>
        </w:rPr>
        <w:t xml:space="preserve"> – </w:t>
      </w:r>
      <w:r w:rsidRPr="002511D5">
        <w:rPr>
          <w:sz w:val="28"/>
          <w:szCs w:val="28"/>
        </w:rPr>
        <w:t>государственн</w:t>
      </w:r>
      <w:r>
        <w:rPr>
          <w:sz w:val="28"/>
          <w:szCs w:val="28"/>
        </w:rPr>
        <w:t>ая корпорация</w:t>
      </w:r>
      <w:r w:rsidRPr="002511D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>
        <w:rPr>
          <w:sz w:val="28"/>
          <w:szCs w:val="28"/>
        </w:rPr>
        <w:t>» и Правительство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8" w:tgtFrame="_blank" w:history="1"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</w:hyperlink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ревитализацию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D8463D" w:rsidRPr="00A36D56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463D" w:rsidRPr="00533309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768 инициатив и проектов, в 2022 лидеры предложили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p w:rsidR="00B63C74" w:rsidRPr="00D8463D" w:rsidRDefault="00B63C74" w:rsidP="00D8463D"/>
    <w:sectPr w:rsidR="00B63C74" w:rsidRPr="00D8463D" w:rsidSect="00D8463D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CB" w:rsidRDefault="005169CB" w:rsidP="009B7811">
      <w:pPr>
        <w:spacing w:after="0" w:line="240" w:lineRule="auto"/>
      </w:pPr>
      <w:r>
        <w:separator/>
      </w:r>
    </w:p>
  </w:endnote>
  <w:endnote w:type="continuationSeparator" w:id="0">
    <w:p w:rsidR="005169CB" w:rsidRDefault="005169CB" w:rsidP="009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CB" w:rsidRDefault="005169CB" w:rsidP="009B7811">
      <w:pPr>
        <w:spacing w:after="0" w:line="240" w:lineRule="auto"/>
      </w:pPr>
      <w:r>
        <w:separator/>
      </w:r>
    </w:p>
  </w:footnote>
  <w:footnote w:type="continuationSeparator" w:id="0">
    <w:p w:rsidR="005169CB" w:rsidRDefault="005169CB" w:rsidP="009B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9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7811" w:rsidRPr="00D8463D" w:rsidRDefault="009B7811" w:rsidP="00D8463D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46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6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73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37DA4"/>
    <w:rsid w:val="00111A67"/>
    <w:rsid w:val="003B3262"/>
    <w:rsid w:val="005169CB"/>
    <w:rsid w:val="00517335"/>
    <w:rsid w:val="005A44F3"/>
    <w:rsid w:val="006A2966"/>
    <w:rsid w:val="008A5C00"/>
    <w:rsid w:val="00937D12"/>
    <w:rsid w:val="009B7811"/>
    <w:rsid w:val="00AB0E57"/>
    <w:rsid w:val="00B63C74"/>
    <w:rsid w:val="00B91424"/>
    <w:rsid w:val="00C9147C"/>
    <w:rsid w:val="00D8463D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user167</cp:lastModifiedBy>
  <cp:revision>2</cp:revision>
  <dcterms:created xsi:type="dcterms:W3CDTF">2025-04-03T07:52:00Z</dcterms:created>
  <dcterms:modified xsi:type="dcterms:W3CDTF">2025-04-03T07:52:00Z</dcterms:modified>
</cp:coreProperties>
</file>